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785"/>
        <w:gridCol w:w="4786"/>
      </w:tblGrid>
      <w:tr w:rsidR="0058402F" w:rsidTr="0058402F">
        <w:tc>
          <w:tcPr>
            <w:tcW w:w="5000" w:type="pct"/>
            <w:gridSpan w:val="2"/>
            <w:vAlign w:val="center"/>
          </w:tcPr>
          <w:p w:rsidR="0058402F" w:rsidRPr="00D3479E" w:rsidRDefault="0058402F" w:rsidP="0058402F">
            <w:pPr>
              <w:spacing w:line="206" w:lineRule="atLeast"/>
              <w:jc w:val="center"/>
              <w:textAlignment w:val="baseline"/>
              <w:outlineLvl w:val="0"/>
              <w:rPr>
                <w:rFonts w:ascii="Verdana" w:eastAsia="Times New Roman" w:hAnsi="Verdana" w:cs="Arial"/>
                <w:b/>
                <w:bCs/>
                <w:color w:val="000080"/>
                <w:kern w:val="36"/>
                <w:sz w:val="20"/>
                <w:szCs w:val="20"/>
              </w:rPr>
            </w:pPr>
            <w:bookmarkStart w:id="0" w:name="_GoBack"/>
            <w:bookmarkEnd w:id="0"/>
            <w:r w:rsidRPr="007E378F">
              <w:rPr>
                <w:rFonts w:ascii="Verdana" w:eastAsia="Times New Roman" w:hAnsi="Verdana" w:cs="Arial"/>
                <w:b/>
                <w:bCs/>
                <w:color w:val="000080"/>
                <w:kern w:val="36"/>
                <w:sz w:val="20"/>
                <w:szCs w:val="20"/>
              </w:rPr>
              <w:t xml:space="preserve">Памятка по применению гражданами </w:t>
            </w:r>
          </w:p>
          <w:p w:rsidR="0058402F" w:rsidRDefault="0058402F" w:rsidP="0058402F">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color w:val="000080"/>
                <w:kern w:val="36"/>
                <w:sz w:val="20"/>
                <w:szCs w:val="20"/>
              </w:rPr>
              <w:t>бытовых пиротехнических изделий.</w:t>
            </w:r>
          </w:p>
        </w:tc>
      </w:tr>
      <w:tr w:rsidR="0058402F" w:rsidTr="0058402F">
        <w:tc>
          <w:tcPr>
            <w:tcW w:w="2500" w:type="pct"/>
            <w:vAlign w:val="center"/>
          </w:tcPr>
          <w:p w:rsidR="0058402F" w:rsidRDefault="0058402F" w:rsidP="0040460E">
            <w:pPr>
              <w:spacing w:before="161" w:after="54" w:line="206" w:lineRule="atLeast"/>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217339" cy="1440000"/>
                  <wp:effectExtent l="19050" t="0" r="1861" b="0"/>
                  <wp:docPr id="1" name="Рисунок 1" descr="1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
                          <pic:cNvPicPr>
                            <a:picLocks noChangeAspect="1" noChangeArrowheads="1"/>
                          </pic:cNvPicPr>
                        </pic:nvPicPr>
                        <pic:blipFill>
                          <a:blip r:embed="rId6"/>
                          <a:srcRect/>
                          <a:stretch>
                            <a:fillRect/>
                          </a:stretch>
                        </pic:blipFill>
                        <pic:spPr bwMode="auto">
                          <a:xfrm>
                            <a:off x="0" y="0"/>
                            <a:ext cx="1217339" cy="1440000"/>
                          </a:xfrm>
                          <a:prstGeom prst="rect">
                            <a:avLst/>
                          </a:prstGeom>
                          <a:noFill/>
                          <a:ln w="9525">
                            <a:noFill/>
                            <a:miter lim="800000"/>
                            <a:headEnd/>
                            <a:tailEnd/>
                          </a:ln>
                        </pic:spPr>
                      </pic:pic>
                    </a:graphicData>
                  </a:graphic>
                </wp:inline>
              </w:drawing>
            </w:r>
          </w:p>
          <w:p w:rsidR="0058402F" w:rsidRPr="007E378F" w:rsidRDefault="0058402F" w:rsidP="0040460E">
            <w:pPr>
              <w:spacing w:before="161" w:after="54" w:line="206" w:lineRule="atLeast"/>
              <w:jc w:val="center"/>
              <w:textAlignment w:val="baseline"/>
              <w:outlineLvl w:val="0"/>
              <w:rPr>
                <w:rFonts w:eastAsia="Times New Roman" w:cs="Times New Roman"/>
                <w:b/>
                <w:bCs/>
                <w:color w:val="000080"/>
                <w:kern w:val="36"/>
                <w:sz w:val="18"/>
                <w:szCs w:val="18"/>
              </w:rPr>
            </w:pPr>
            <w:r w:rsidRPr="007E378F">
              <w:rPr>
                <w:rFonts w:ascii="Arial" w:eastAsia="Times New Roman" w:hAnsi="Arial" w:cs="Arial"/>
                <w:color w:val="000000"/>
                <w:sz w:val="18"/>
                <w:szCs w:val="18"/>
              </w:rPr>
              <w:t>Никогда не ленитесь лишний раз прочитать инструкцию на изделие. Помните, что даже знакомое и обычное на вид пиротехническое изделие может иметь свои особенности</w:t>
            </w:r>
          </w:p>
        </w:tc>
        <w:tc>
          <w:tcPr>
            <w:tcW w:w="2500" w:type="pct"/>
            <w:vAlign w:val="center"/>
          </w:tcPr>
          <w:p w:rsidR="0058402F" w:rsidRDefault="0058402F" w:rsidP="0040460E">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162028" cy="1440000"/>
                  <wp:effectExtent l="19050" t="0" r="0" b="0"/>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7"/>
                          <a:srcRect/>
                          <a:stretch>
                            <a:fillRect/>
                          </a:stretch>
                        </pic:blipFill>
                        <pic:spPr bwMode="auto">
                          <a:xfrm>
                            <a:off x="0" y="0"/>
                            <a:ext cx="2162028" cy="1440000"/>
                          </a:xfrm>
                          <a:prstGeom prst="rect">
                            <a:avLst/>
                          </a:prstGeom>
                          <a:noFill/>
                          <a:ln w="9525">
                            <a:noFill/>
                            <a:miter lim="800000"/>
                            <a:headEnd/>
                            <a:tailEnd/>
                          </a:ln>
                        </pic:spPr>
                      </pic:pic>
                    </a:graphicData>
                  </a:graphic>
                </wp:inline>
              </w:drawing>
            </w:r>
          </w:p>
          <w:p w:rsidR="0058402F" w:rsidRDefault="0058402F" w:rsidP="0040460E">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Фитиль следует поджигать на расстоянии</w:t>
            </w:r>
          </w:p>
          <w:p w:rsidR="0058402F" w:rsidRDefault="0058402F" w:rsidP="0040460E">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вытянутой руки</w:t>
            </w:r>
          </w:p>
        </w:tc>
      </w:tr>
      <w:tr w:rsidR="0058402F" w:rsidTr="0058402F">
        <w:tc>
          <w:tcPr>
            <w:tcW w:w="5000" w:type="pct"/>
            <w:gridSpan w:val="2"/>
          </w:tcPr>
          <w:p w:rsidR="0058402F" w:rsidRPr="00580BB3" w:rsidRDefault="0058402F" w:rsidP="00580BB3">
            <w:pPr>
              <w:spacing w:before="161" w:after="54" w:line="206" w:lineRule="atLeast"/>
              <w:jc w:val="center"/>
              <w:textAlignment w:val="baseline"/>
              <w:outlineLvl w:val="0"/>
              <w:rPr>
                <w:rFonts w:ascii="Verdana" w:eastAsia="Times New Roman" w:hAnsi="Verdana" w:cs="Arial"/>
                <w:b/>
                <w:bCs/>
                <w:color w:val="000080"/>
                <w:kern w:val="36"/>
                <w:sz w:val="16"/>
                <w:szCs w:val="16"/>
              </w:rPr>
            </w:pPr>
            <w:r w:rsidRPr="00580BB3">
              <w:rPr>
                <w:rFonts w:ascii="Verdana" w:eastAsia="Times New Roman" w:hAnsi="Verdana" w:cs="Arial"/>
                <w:b/>
                <w:bCs/>
                <w:noProof/>
                <w:color w:val="000080"/>
                <w:kern w:val="36"/>
                <w:sz w:val="15"/>
                <w:szCs w:val="15"/>
              </w:rPr>
              <w:drawing>
                <wp:inline distT="0" distB="0" distL="0" distR="0">
                  <wp:extent cx="1637452" cy="1260000"/>
                  <wp:effectExtent l="19050" t="0" r="848" b="0"/>
                  <wp:docPr id="3" name="Рисунок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8"/>
                          <a:srcRect/>
                          <a:stretch>
                            <a:fillRect/>
                          </a:stretch>
                        </pic:blipFill>
                        <pic:spPr bwMode="auto">
                          <a:xfrm>
                            <a:off x="0" y="0"/>
                            <a:ext cx="1637452" cy="1260000"/>
                          </a:xfrm>
                          <a:prstGeom prst="rect">
                            <a:avLst/>
                          </a:prstGeom>
                          <a:noFill/>
                          <a:ln w="9525">
                            <a:noFill/>
                            <a:miter lim="800000"/>
                            <a:headEnd/>
                            <a:tailEnd/>
                          </a:ln>
                        </pic:spPr>
                      </pic:pic>
                    </a:graphicData>
                  </a:graphic>
                </wp:inline>
              </w:drawing>
            </w:r>
          </w:p>
          <w:p w:rsidR="0058402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Зрители должны находиться за пределами опасной зоны, указанной в инструкции </w:t>
            </w:r>
          </w:p>
          <w:p w:rsidR="0058402F" w:rsidRPr="007E378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по применению конкре</w:t>
            </w:r>
            <w:r>
              <w:rPr>
                <w:rFonts w:ascii="Arial" w:eastAsia="Times New Roman" w:hAnsi="Arial" w:cs="Arial"/>
                <w:color w:val="000000"/>
                <w:sz w:val="18"/>
                <w:szCs w:val="18"/>
              </w:rPr>
              <w:t xml:space="preserve">тного пиротехнического изделия, </w:t>
            </w:r>
            <w:r w:rsidRPr="007E378F">
              <w:rPr>
                <w:rFonts w:ascii="Arial" w:eastAsia="Times New Roman" w:hAnsi="Arial" w:cs="Arial"/>
                <w:color w:val="000000"/>
                <w:sz w:val="18"/>
                <w:szCs w:val="18"/>
              </w:rPr>
              <w:t>но не менее 20 м</w:t>
            </w:r>
          </w:p>
        </w:tc>
      </w:tr>
      <w:tr w:rsidR="0058402F" w:rsidTr="0058402F">
        <w:tc>
          <w:tcPr>
            <w:tcW w:w="5000" w:type="pct"/>
            <w:gridSpan w:val="2"/>
          </w:tcPr>
          <w:p w:rsidR="0058402F" w:rsidRPr="00473C59" w:rsidRDefault="0058402F" w:rsidP="00680A1C">
            <w:pPr>
              <w:jc w:val="center"/>
              <w:textAlignment w:val="baseline"/>
              <w:outlineLvl w:val="0"/>
              <w:rPr>
                <w:rFonts w:ascii="Arial" w:eastAsia="Times New Roman" w:hAnsi="Arial" w:cs="Arial"/>
                <w:b/>
                <w:color w:val="000000"/>
                <w:sz w:val="28"/>
                <w:szCs w:val="28"/>
              </w:rPr>
            </w:pPr>
          </w:p>
          <w:p w:rsidR="0058402F" w:rsidRPr="00473C59" w:rsidRDefault="0058402F" w:rsidP="00580BB3">
            <w:pPr>
              <w:jc w:val="center"/>
              <w:textAlignment w:val="baseline"/>
              <w:outlineLvl w:val="0"/>
              <w:rPr>
                <w:rFonts w:ascii="Arial" w:eastAsia="Times New Roman" w:hAnsi="Arial" w:cs="Arial"/>
                <w:b/>
                <w:sz w:val="18"/>
                <w:szCs w:val="18"/>
                <w:u w:val="single"/>
              </w:rPr>
            </w:pPr>
            <w:r w:rsidRPr="00473C59">
              <w:rPr>
                <w:rFonts w:ascii="Arial" w:eastAsia="Times New Roman" w:hAnsi="Arial" w:cs="Arial"/>
                <w:b/>
                <w:sz w:val="28"/>
                <w:szCs w:val="28"/>
                <w:u w:val="single"/>
              </w:rPr>
              <w:t>Категорически запрещается:</w:t>
            </w:r>
          </w:p>
        </w:tc>
      </w:tr>
      <w:tr w:rsidR="0058402F" w:rsidTr="0058402F">
        <w:tc>
          <w:tcPr>
            <w:tcW w:w="2500" w:type="pct"/>
          </w:tcPr>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noProof/>
                <w:color w:val="000080"/>
                <w:kern w:val="36"/>
                <w:sz w:val="15"/>
                <w:szCs w:val="15"/>
              </w:rPr>
              <w:drawing>
                <wp:inline distT="0" distB="0" distL="0" distR="0">
                  <wp:extent cx="1100351" cy="1440000"/>
                  <wp:effectExtent l="19050" t="0" r="4549" b="0"/>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pic:cNvPicPr>
                            <a:picLocks noChangeAspect="1" noChangeArrowheads="1"/>
                          </pic:cNvPicPr>
                        </pic:nvPicPr>
                        <pic:blipFill>
                          <a:blip r:embed="rId9"/>
                          <a:srcRect/>
                          <a:stretch>
                            <a:fillRect/>
                          </a:stretch>
                        </pic:blipFill>
                        <pic:spPr bwMode="auto">
                          <a:xfrm>
                            <a:off x="0" y="0"/>
                            <a:ext cx="1100351" cy="1440000"/>
                          </a:xfrm>
                          <a:prstGeom prst="rect">
                            <a:avLst/>
                          </a:prstGeom>
                          <a:noFill/>
                          <a:ln w="9525">
                            <a:noFill/>
                            <a:miter lim="800000"/>
                            <a:headEnd/>
                            <a:tailEnd/>
                          </a:ln>
                        </pic:spPr>
                      </pic:pic>
                    </a:graphicData>
                  </a:graphic>
                </wp:inline>
              </w:drawing>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Держать работающие пиротехнические изделия </w:t>
            </w:r>
          </w:p>
          <w:p w:rsidR="0058402F" w:rsidRDefault="0058402F" w:rsidP="00580BB3">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 руках</w:t>
            </w:r>
          </w:p>
        </w:tc>
        <w:tc>
          <w:tcPr>
            <w:tcW w:w="2500" w:type="pct"/>
            <w:vAlign w:val="center"/>
          </w:tcPr>
          <w:p w:rsidR="0058402F" w:rsidRDefault="0058402F" w:rsidP="00680A1C">
            <w:pPr>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168688" cy="1440000"/>
                  <wp:effectExtent l="19050" t="0" r="0" b="0"/>
                  <wp:docPr id="5" name="Рисунок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pic:cNvPicPr>
                            <a:picLocks noChangeAspect="1" noChangeArrowheads="1"/>
                          </pic:cNvPicPr>
                        </pic:nvPicPr>
                        <pic:blipFill>
                          <a:blip r:embed="rId10"/>
                          <a:srcRect/>
                          <a:stretch>
                            <a:fillRect/>
                          </a:stretch>
                        </pic:blipFill>
                        <pic:spPr bwMode="auto">
                          <a:xfrm>
                            <a:off x="0" y="0"/>
                            <a:ext cx="1168688" cy="1440000"/>
                          </a:xfrm>
                          <a:prstGeom prst="rect">
                            <a:avLst/>
                          </a:prstGeom>
                          <a:noFill/>
                          <a:ln w="9525">
                            <a:noFill/>
                            <a:miter lim="800000"/>
                            <a:headEnd/>
                            <a:tailEnd/>
                          </a:ln>
                        </pic:spPr>
                      </pic:pic>
                    </a:graphicData>
                  </a:graphic>
                </wp:inline>
              </w:drawing>
            </w:r>
          </w:p>
          <w:p w:rsidR="0058402F" w:rsidRPr="00680A1C" w:rsidRDefault="0058402F" w:rsidP="00680A1C">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работающим пиротехническим изделием и после окончания его работы, а также в случае его несрабатывания.</w:t>
            </w:r>
          </w:p>
        </w:tc>
      </w:tr>
      <w:tr w:rsidR="0058402F" w:rsidTr="0058402F">
        <w:tc>
          <w:tcPr>
            <w:tcW w:w="2500" w:type="pct"/>
            <w:vAlign w:val="center"/>
          </w:tcPr>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509353" cy="1440000"/>
                  <wp:effectExtent l="19050" t="0" r="5247" b="0"/>
                  <wp:docPr id="6" name="Рисунок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11"/>
                          <a:srcRect/>
                          <a:stretch>
                            <a:fillRect/>
                          </a:stretch>
                        </pic:blipFill>
                        <pic:spPr bwMode="auto">
                          <a:xfrm>
                            <a:off x="0" y="0"/>
                            <a:ext cx="2509353" cy="1440000"/>
                          </a:xfrm>
                          <a:prstGeom prst="rect">
                            <a:avLst/>
                          </a:prstGeom>
                          <a:noFill/>
                          <a:ln w="9525">
                            <a:noFill/>
                            <a:miter lim="800000"/>
                            <a:headEnd/>
                            <a:tailEnd/>
                          </a:ln>
                        </pic:spPr>
                      </pic:pic>
                    </a:graphicData>
                  </a:graphic>
                </wp:inline>
              </w:drawing>
            </w:r>
          </w:p>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Производить запуск пиротехнических изделий в направлении людей, а также в место их возможного появления</w:t>
            </w:r>
          </w:p>
        </w:tc>
        <w:tc>
          <w:tcPr>
            <w:tcW w:w="2500" w:type="pct"/>
          </w:tcPr>
          <w:p w:rsidR="0058402F" w:rsidRDefault="00560081"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object w:dxaOrig="345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104.25pt" o:ole="">
                  <v:imagedata r:id="rId12" o:title=""/>
                </v:shape>
                <o:OLEObject Type="Embed" ProgID="PBrush" ShapeID="_x0000_i1025" DrawAspect="Content" ObjectID="_1606842137" r:id="rId13"/>
              </w:object>
            </w:r>
          </w:p>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Применять пиротехнические изделия в помещении</w:t>
            </w:r>
          </w:p>
        </w:tc>
      </w:tr>
      <w:tr w:rsidR="0058402F" w:rsidTr="0058402F">
        <w:tc>
          <w:tcPr>
            <w:tcW w:w="5000" w:type="pct"/>
            <w:gridSpan w:val="2"/>
          </w:tcPr>
          <w:p w:rsidR="0058402F" w:rsidRDefault="00560081" w:rsidP="00680A1C">
            <w:pPr>
              <w:jc w:val="center"/>
              <w:textAlignment w:val="baseline"/>
              <w:outlineLvl w:val="0"/>
              <w:rPr>
                <w:rFonts w:ascii="Verdana" w:eastAsia="Times New Roman" w:hAnsi="Verdana" w:cs="Arial"/>
                <w:b/>
                <w:bCs/>
                <w:color w:val="000080"/>
                <w:kern w:val="36"/>
                <w:sz w:val="15"/>
                <w:szCs w:val="15"/>
              </w:rPr>
            </w:pPr>
            <w:r>
              <w:object w:dxaOrig="4005" w:dyaOrig="3540">
                <v:shape id="_x0000_i1026" type="#_x0000_t75" style="width:109.05pt;height:96.2pt" o:ole="">
                  <v:imagedata r:id="rId14" o:title=""/>
                </v:shape>
                <o:OLEObject Type="Embed" ProgID="PBrush" ShapeID="_x0000_i1026" DrawAspect="Content" ObjectID="_1606842138" r:id="rId15"/>
              </w:object>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Использовать пиротехнические изделия вблизи зданий, сооружений, деревьев, линий электропередач и </w:t>
            </w:r>
          </w:p>
          <w:p w:rsidR="0058402F" w:rsidRDefault="0058402F" w:rsidP="00580BB3">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на расстоянии менее радиуса опасной зоны</w:t>
            </w:r>
          </w:p>
        </w:tc>
      </w:tr>
    </w:tbl>
    <w:p w:rsidR="007E378F" w:rsidRPr="007E378F" w:rsidRDefault="007E378F" w:rsidP="003F19D6">
      <w:pPr>
        <w:spacing w:after="192" w:line="206" w:lineRule="atLeast"/>
        <w:jc w:val="center"/>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lastRenderedPageBreak/>
        <w:t>ИНСТРУКЦИЯ</w:t>
      </w:r>
    </w:p>
    <w:p w:rsidR="007E378F" w:rsidRDefault="007E378F" w:rsidP="00473C59">
      <w:pPr>
        <w:spacing w:after="0" w:line="206" w:lineRule="atLeast"/>
        <w:jc w:val="center"/>
        <w:textAlignment w:val="baseline"/>
        <w:rPr>
          <w:rFonts w:ascii="Arial" w:eastAsia="Times New Roman" w:hAnsi="Arial" w:cs="Arial"/>
          <w:b/>
          <w:bCs/>
          <w:color w:val="000000"/>
          <w:sz w:val="18"/>
          <w:szCs w:val="18"/>
        </w:rPr>
      </w:pPr>
      <w:r w:rsidRPr="00473C59">
        <w:rPr>
          <w:rFonts w:ascii="Arial" w:eastAsia="Times New Roman" w:hAnsi="Arial" w:cs="Arial"/>
          <w:b/>
          <w:bCs/>
          <w:color w:val="000000"/>
          <w:sz w:val="18"/>
          <w:szCs w:val="18"/>
        </w:rPr>
        <w:t>по применению гражданами бытовых пиротехнических изделий</w:t>
      </w:r>
    </w:p>
    <w:p w:rsidR="00473C59" w:rsidRPr="007E378F" w:rsidRDefault="00473C59" w:rsidP="00473C59">
      <w:pPr>
        <w:spacing w:after="0" w:line="206" w:lineRule="atLeast"/>
        <w:jc w:val="center"/>
        <w:textAlignment w:val="baseline"/>
        <w:rPr>
          <w:rFonts w:ascii="Arial" w:eastAsia="Times New Roman" w:hAnsi="Arial" w:cs="Arial"/>
          <w:color w:val="000000"/>
          <w:sz w:val="18"/>
          <w:szCs w:val="18"/>
        </w:rPr>
      </w:pP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w:t>
      </w:r>
      <w:proofErr w:type="gramStart"/>
      <w:r w:rsidRPr="007E378F">
        <w:rPr>
          <w:rFonts w:ascii="Arial" w:eastAsia="Times New Roman" w:hAnsi="Arial" w:cs="Arial"/>
          <w:color w:val="000000"/>
          <w:sz w:val="18"/>
          <w:szCs w:val="18"/>
        </w:rPr>
        <w:t>всего</w:t>
      </w:r>
      <w:proofErr w:type="gramEnd"/>
      <w:r w:rsidRPr="007E378F">
        <w:rPr>
          <w:rFonts w:ascii="Arial" w:eastAsia="Times New Roman" w:hAnsi="Arial" w:cs="Arial"/>
          <w:color w:val="000000"/>
          <w:sz w:val="18"/>
          <w:szCs w:val="18"/>
        </w:rPr>
        <w:t xml:space="preserve"> 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proofErr w:type="gramStart"/>
      <w:r w:rsidRPr="007E378F">
        <w:rPr>
          <w:rFonts w:ascii="Arial" w:eastAsia="Times New Roman" w:hAnsi="Arial" w:cs="Arial"/>
          <w:color w:val="000000"/>
          <w:sz w:val="18"/>
          <w:szCs w:val="18"/>
        </w:rPr>
        <w:t>Задача запускающего - провести фейерверк безопасно для себя и зрителей.</w:t>
      </w:r>
      <w:proofErr w:type="gramEnd"/>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Общие рекомендации по запуску фейерверочных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Более того, некоторые виды пиротехники после намокания становятся опасными для зрителей.</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3. Определить место расположения зрителей.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Зрители должны находиться за пределами опасной зоны.</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Использовать пиротехнические изделия в нетрезвом состоянии запрещено.</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6. При </w:t>
      </w:r>
      <w:proofErr w:type="spellStart"/>
      <w:r w:rsidRPr="007E378F">
        <w:rPr>
          <w:rFonts w:ascii="Arial" w:eastAsia="Times New Roman" w:hAnsi="Arial" w:cs="Arial"/>
          <w:color w:val="000000"/>
          <w:sz w:val="18"/>
          <w:szCs w:val="18"/>
        </w:rPr>
        <w:t>поджиге</w:t>
      </w:r>
      <w:proofErr w:type="spellEnd"/>
      <w:r w:rsidRPr="007E378F">
        <w:rPr>
          <w:rFonts w:ascii="Arial" w:eastAsia="Times New Roman" w:hAnsi="Arial" w:cs="Arial"/>
          <w:color w:val="000000"/>
          <w:sz w:val="18"/>
          <w:szCs w:val="18"/>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8. Заранее освободите и расправьте огнепроводный шнур (стопин) на ваших изделиях.</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 xml:space="preserve">Все фейерверочные изделия, предназначенные для продажи населению, инициируются </w:t>
      </w:r>
      <w:proofErr w:type="spellStart"/>
      <w:r w:rsidRPr="00473C59">
        <w:rPr>
          <w:rFonts w:ascii="Arial" w:eastAsia="Times New Roman" w:hAnsi="Arial" w:cs="Arial"/>
          <w:b/>
          <w:bCs/>
          <w:color w:val="000000"/>
          <w:sz w:val="18"/>
          <w:szCs w:val="18"/>
        </w:rPr>
        <w:t>поджигом</w:t>
      </w:r>
      <w:proofErr w:type="spellEnd"/>
      <w:r w:rsidRPr="00473C59">
        <w:rPr>
          <w:rFonts w:ascii="Arial" w:eastAsia="Times New Roman" w:hAnsi="Arial" w:cs="Arial"/>
          <w:b/>
          <w:bCs/>
          <w:color w:val="000000"/>
          <w:sz w:val="18"/>
          <w:szCs w:val="18"/>
        </w:rPr>
        <w:t xml:space="preserve"> огнепроводного шнура. </w:t>
      </w:r>
      <w:r w:rsidRPr="007E378F">
        <w:rPr>
          <w:rFonts w:ascii="Arial" w:eastAsia="Times New Roman" w:hAnsi="Arial" w:cs="Arial"/>
          <w:color w:val="000000"/>
          <w:sz w:val="18"/>
          <w:szCs w:val="18"/>
        </w:rPr>
        <w:t>Запомните, что перед тем, как поджечь фитиль, вы должны точно знать, где у изделия верх и откуда будут вылетать горящие элементы.</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10. Ракеты и летающие фейерверочные изделия следует запускать вдали от жилых домов, построек с ветхими крышами или открытыми чердаками.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lastRenderedPageBreak/>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12. Устроитель фейерверка должен после </w:t>
      </w:r>
      <w:proofErr w:type="spellStart"/>
      <w:r w:rsidRPr="007E378F">
        <w:rPr>
          <w:rFonts w:ascii="Arial" w:eastAsia="Times New Roman" w:hAnsi="Arial" w:cs="Arial"/>
          <w:color w:val="000000"/>
          <w:sz w:val="18"/>
          <w:szCs w:val="18"/>
        </w:rPr>
        <w:t>поджига</w:t>
      </w:r>
      <w:proofErr w:type="spellEnd"/>
      <w:r w:rsidRPr="007E378F">
        <w:rPr>
          <w:rFonts w:ascii="Arial" w:eastAsia="Times New Roman" w:hAnsi="Arial" w:cs="Arial"/>
          <w:color w:val="000000"/>
          <w:sz w:val="18"/>
          <w:szCs w:val="18"/>
        </w:rPr>
        <w:t xml:space="preserve"> изделий немедленно удалиться из опасной зоны, повернувшись спиной к работающим изделиям.</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13. И, наконец, главное правило безопасности:</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никогда не разбирайте фейерверочные изделия </w:t>
      </w:r>
      <w:r w:rsidRPr="007E378F">
        <w:rPr>
          <w:rFonts w:ascii="Arial" w:eastAsia="Times New Roman" w:hAnsi="Arial" w:cs="Arial"/>
          <w:color w:val="000000"/>
          <w:sz w:val="18"/>
          <w:szCs w:val="18"/>
        </w:rPr>
        <w:t>-</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 xml:space="preserve">ни до использования, ни </w:t>
      </w:r>
      <w:proofErr w:type="spellStart"/>
      <w:r w:rsidRPr="00473C59">
        <w:rPr>
          <w:rFonts w:ascii="Arial" w:eastAsia="Times New Roman" w:hAnsi="Arial" w:cs="Arial"/>
          <w:b/>
          <w:bCs/>
          <w:color w:val="000000"/>
          <w:sz w:val="18"/>
          <w:szCs w:val="18"/>
        </w:rPr>
        <w:t>после</w:t>
      </w:r>
      <w:proofErr w:type="gramStart"/>
      <w:r w:rsidRPr="00473C59">
        <w:rPr>
          <w:rFonts w:ascii="Arial" w:eastAsia="Times New Roman" w:hAnsi="Arial" w:cs="Arial"/>
          <w:b/>
          <w:bCs/>
          <w:color w:val="000000"/>
          <w:sz w:val="18"/>
          <w:szCs w:val="18"/>
        </w:rPr>
        <w:t>!К</w:t>
      </w:r>
      <w:proofErr w:type="gramEnd"/>
      <w:r w:rsidRPr="00473C59">
        <w:rPr>
          <w:rFonts w:ascii="Arial" w:eastAsia="Times New Roman" w:hAnsi="Arial" w:cs="Arial"/>
          <w:b/>
          <w:bCs/>
          <w:color w:val="000000"/>
          <w:sz w:val="18"/>
          <w:szCs w:val="18"/>
        </w:rPr>
        <w:t>АТЕГОРИЧЕСКИ</w:t>
      </w:r>
      <w:proofErr w:type="spellEnd"/>
      <w:r w:rsidRPr="00473C59">
        <w:rPr>
          <w:rFonts w:ascii="Arial" w:eastAsia="Times New Roman" w:hAnsi="Arial" w:cs="Arial"/>
          <w:b/>
          <w:bCs/>
          <w:color w:val="000000"/>
          <w:sz w:val="18"/>
          <w:szCs w:val="18"/>
        </w:rPr>
        <w:t xml:space="preserve"> ЗАПРЕЩЕНО</w:t>
      </w:r>
      <w:r w:rsidRPr="00473C59">
        <w:rPr>
          <w:rFonts w:ascii="Arial" w:eastAsia="Times New Roman" w:hAnsi="Arial" w:cs="Arial"/>
          <w:color w:val="000000"/>
          <w:sz w:val="18"/>
          <w:szCs w:val="18"/>
        </w:rPr>
        <w:t> </w:t>
      </w:r>
      <w:r w:rsidRPr="007E378F">
        <w:rPr>
          <w:rFonts w:ascii="Arial" w:eastAsia="Times New Roman" w:hAnsi="Arial" w:cs="Arial"/>
          <w:color w:val="000000"/>
          <w:sz w:val="18"/>
          <w:szCs w:val="18"/>
        </w:rPr>
        <w:t xml:space="preserve">разбирать, </w:t>
      </w:r>
      <w:proofErr w:type="spellStart"/>
      <w:r w:rsidRPr="007E378F">
        <w:rPr>
          <w:rFonts w:ascii="Arial" w:eastAsia="Times New Roman" w:hAnsi="Arial" w:cs="Arial"/>
          <w:color w:val="000000"/>
          <w:sz w:val="18"/>
          <w:szCs w:val="18"/>
        </w:rPr>
        <w:t>дооснащать</w:t>
      </w:r>
      <w:proofErr w:type="spellEnd"/>
      <w:r w:rsidRPr="007E378F">
        <w:rPr>
          <w:rFonts w:ascii="Arial" w:eastAsia="Times New Roman" w:hAnsi="Arial" w:cs="Arial"/>
          <w:color w:val="000000"/>
          <w:sz w:val="18"/>
          <w:szCs w:val="18"/>
        </w:rPr>
        <w:t xml:space="preserve"> или каким-либо другим образом изменять конструкцию пиротехнического изделия до и после его использования.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 xml:space="preserve">Помимо </w:t>
      </w:r>
      <w:proofErr w:type="gramStart"/>
      <w:r w:rsidRPr="00473C59">
        <w:rPr>
          <w:rFonts w:ascii="Arial" w:eastAsia="Times New Roman" w:hAnsi="Arial" w:cs="Arial"/>
          <w:b/>
          <w:bCs/>
          <w:color w:val="000000"/>
          <w:sz w:val="18"/>
          <w:szCs w:val="18"/>
        </w:rPr>
        <w:t>вышеперечисленного</w:t>
      </w:r>
      <w:proofErr w:type="gramEnd"/>
      <w:r w:rsidRPr="00473C59">
        <w:rPr>
          <w:rFonts w:ascii="Arial" w:eastAsia="Times New Roman" w:hAnsi="Arial" w:cs="Arial"/>
          <w:b/>
          <w:bCs/>
          <w:color w:val="000000"/>
          <w:sz w:val="18"/>
          <w:szCs w:val="18"/>
        </w:rPr>
        <w:t xml:space="preserve"> при обращении с пиротехническими изделиями ЗАПРЕЩАЕТСЯ: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лицам, моложе 18 лет без присутствия взрослых.</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курить рядом с пиротехническим изделием.</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механически воздействовать на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ударять пиротехническое изделие.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бросать пиротехнические изделия в огонь.</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применять пиротехнические изделия в помещении (исключение: бенгальские огни, тортовые свечи, хлопушки).</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держать работающее пиротехническое изделие в руках (кроме бенгальских огней, тортовых свечей, хлопушек).</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находиться по отношению к работающему пиротехническому изделию на меньшем расстоянии, чем безопасное расстояние.</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пиротехническим изделием во время поджога фитиля, а так же во время работы пиротехнического изделия.</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случае затухания фитиля поджигать его ещё раз.</w:t>
      </w:r>
    </w:p>
    <w:p w:rsidR="007E378F" w:rsidRPr="007E378F" w:rsidRDefault="007E378F" w:rsidP="00473C59">
      <w:pPr>
        <w:numPr>
          <w:ilvl w:val="0"/>
          <w:numId w:val="1"/>
        </w:numPr>
        <w:spacing w:after="0" w:line="206" w:lineRule="atLeast"/>
        <w:ind w:left="360" w:right="360"/>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подходить и наклоняться над отработавшим пиротехническим изделием в течение минимум 5 минут после окончания его работы.</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Место проведения фейерверка.</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w:t>
      </w:r>
      <w:r w:rsidRPr="00473C59">
        <w:rPr>
          <w:rFonts w:ascii="Arial" w:eastAsia="Times New Roman" w:hAnsi="Arial" w:cs="Arial"/>
          <w:color w:val="000000"/>
          <w:sz w:val="18"/>
          <w:szCs w:val="18"/>
        </w:rPr>
        <w:t> </w:t>
      </w:r>
      <w:r w:rsidRPr="00473C59">
        <w:rPr>
          <w:rFonts w:ascii="Arial" w:eastAsia="Times New Roman" w:hAnsi="Arial" w:cs="Arial"/>
          <w:b/>
          <w:bCs/>
          <w:color w:val="000000"/>
          <w:sz w:val="18"/>
          <w:szCs w:val="18"/>
        </w:rPr>
        <w:t>ЗАПРЕЩАЕТСЯ:</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а) в помещениях, зданиях и сооружениях любого функционального назначения;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 на крышах, балконах, лоджиях и выступающих частях фасадов зданий (сооружений);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г) на сценических площадках, стадионах и иных спортивных сооружениях;</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д) во время проведения митингов, демонстраций, шествий и пикетирования;</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7E378F" w:rsidRPr="007E378F" w:rsidRDefault="007E378F" w:rsidP="00473C59">
      <w:pPr>
        <w:spacing w:after="0" w:line="206" w:lineRule="atLeast"/>
        <w:jc w:val="both"/>
        <w:textAlignment w:val="baseline"/>
        <w:rPr>
          <w:rFonts w:ascii="Arial" w:eastAsia="Times New Roman" w:hAnsi="Arial" w:cs="Arial"/>
          <w:color w:val="000000"/>
          <w:sz w:val="18"/>
          <w:szCs w:val="18"/>
        </w:rPr>
      </w:pPr>
      <w:r w:rsidRPr="00473C59">
        <w:rPr>
          <w:rFonts w:ascii="Arial" w:eastAsia="Times New Roman" w:hAnsi="Arial" w:cs="Arial"/>
          <w:b/>
          <w:bCs/>
          <w:color w:val="000000"/>
          <w:sz w:val="18"/>
          <w:szCs w:val="18"/>
        </w:rPr>
        <w:t>Действия в случае отказов, утилизация негодных изделий.</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Важно помнить, что в случае если фитиль погас или прогорел, а изделие не начало работать, следует:</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Выждать 10 минут, чтобы удостовериться в отказе;</w:t>
      </w:r>
    </w:p>
    <w:p w:rsidR="007E378F" w:rsidRPr="007E378F" w:rsidRDefault="007E378F" w:rsidP="00473C59">
      <w:pPr>
        <w:spacing w:after="192" w:line="206" w:lineRule="atLeast"/>
        <w:jc w:val="both"/>
        <w:textAlignment w:val="baseline"/>
        <w:rPr>
          <w:rFonts w:ascii="Arial" w:eastAsia="Times New Roman" w:hAnsi="Arial" w:cs="Arial"/>
          <w:color w:val="000000"/>
          <w:sz w:val="18"/>
          <w:szCs w:val="18"/>
        </w:rPr>
      </w:pPr>
      <w:r w:rsidRPr="007E378F">
        <w:rPr>
          <w:rFonts w:ascii="Arial" w:eastAsia="Times New Roman" w:hAnsi="Arial" w:cs="Arial"/>
          <w:color w:val="000000"/>
          <w:sz w:val="18"/>
          <w:szCs w:val="18"/>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7E378F" w:rsidRPr="007E378F" w:rsidRDefault="007E378F" w:rsidP="00473C59">
      <w:pPr>
        <w:spacing w:after="192" w:line="206" w:lineRule="atLeast"/>
        <w:jc w:val="both"/>
        <w:textAlignment w:val="baseline"/>
        <w:rPr>
          <w:rFonts w:ascii="Arial" w:eastAsia="Times New Roman" w:hAnsi="Arial" w:cs="Arial"/>
          <w:color w:val="000000"/>
          <w:sz w:val="13"/>
          <w:szCs w:val="13"/>
        </w:rPr>
      </w:pPr>
      <w:r w:rsidRPr="007E378F">
        <w:rPr>
          <w:rFonts w:ascii="Arial" w:eastAsia="Times New Roman" w:hAnsi="Arial" w:cs="Arial"/>
          <w:color w:val="000000"/>
          <w:sz w:val="18"/>
          <w:szCs w:val="18"/>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883E64" w:rsidRDefault="00883E64" w:rsidP="00473C59">
      <w:pPr>
        <w:jc w:val="both"/>
      </w:pPr>
    </w:p>
    <w:p w:rsidR="00473C59" w:rsidRDefault="00473C59">
      <w:pPr>
        <w:jc w:val="both"/>
      </w:pPr>
    </w:p>
    <w:sectPr w:rsidR="00473C59" w:rsidSect="00D3479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0A7E"/>
    <w:multiLevelType w:val="multilevel"/>
    <w:tmpl w:val="557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8F"/>
    <w:rsid w:val="003F19D6"/>
    <w:rsid w:val="00461A56"/>
    <w:rsid w:val="00473C59"/>
    <w:rsid w:val="00485E87"/>
    <w:rsid w:val="00560081"/>
    <w:rsid w:val="00580BB3"/>
    <w:rsid w:val="0058402F"/>
    <w:rsid w:val="00680A1C"/>
    <w:rsid w:val="0077326B"/>
    <w:rsid w:val="007A17D1"/>
    <w:rsid w:val="007E378F"/>
    <w:rsid w:val="007E5086"/>
    <w:rsid w:val="00883E64"/>
    <w:rsid w:val="00984DEB"/>
    <w:rsid w:val="00A25514"/>
    <w:rsid w:val="00D3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7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37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78F"/>
    <w:rPr>
      <w:b/>
      <w:bCs/>
    </w:rPr>
  </w:style>
  <w:style w:type="character" w:customStyle="1" w:styleId="apple-converted-space">
    <w:name w:val="apple-converted-space"/>
    <w:basedOn w:val="a0"/>
    <w:rsid w:val="007E378F"/>
  </w:style>
  <w:style w:type="paragraph" w:styleId="a5">
    <w:name w:val="Balloon Text"/>
    <w:basedOn w:val="a"/>
    <w:link w:val="a6"/>
    <w:uiPriority w:val="99"/>
    <w:semiHidden/>
    <w:unhideWhenUsed/>
    <w:rsid w:val="007E3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78F"/>
    <w:rPr>
      <w:rFonts w:ascii="Tahoma" w:hAnsi="Tahoma" w:cs="Tahoma"/>
      <w:sz w:val="16"/>
      <w:szCs w:val="16"/>
    </w:rPr>
  </w:style>
  <w:style w:type="table" w:styleId="a7">
    <w:name w:val="Table Grid"/>
    <w:basedOn w:val="a1"/>
    <w:uiPriority w:val="59"/>
    <w:rsid w:val="007E3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7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37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78F"/>
    <w:rPr>
      <w:b/>
      <w:bCs/>
    </w:rPr>
  </w:style>
  <w:style w:type="character" w:customStyle="1" w:styleId="apple-converted-space">
    <w:name w:val="apple-converted-space"/>
    <w:basedOn w:val="a0"/>
    <w:rsid w:val="007E378F"/>
  </w:style>
  <w:style w:type="paragraph" w:styleId="a5">
    <w:name w:val="Balloon Text"/>
    <w:basedOn w:val="a"/>
    <w:link w:val="a6"/>
    <w:uiPriority w:val="99"/>
    <w:semiHidden/>
    <w:unhideWhenUsed/>
    <w:rsid w:val="007E3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78F"/>
    <w:rPr>
      <w:rFonts w:ascii="Tahoma" w:hAnsi="Tahoma" w:cs="Tahoma"/>
      <w:sz w:val="16"/>
      <w:szCs w:val="16"/>
    </w:rPr>
  </w:style>
  <w:style w:type="table" w:styleId="a7">
    <w:name w:val="Table Grid"/>
    <w:basedOn w:val="a1"/>
    <w:uiPriority w:val="59"/>
    <w:rsid w:val="007E3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25241">
      <w:bodyDiv w:val="1"/>
      <w:marLeft w:val="0"/>
      <w:marRight w:val="0"/>
      <w:marTop w:val="0"/>
      <w:marBottom w:val="0"/>
      <w:divBdr>
        <w:top w:val="none" w:sz="0" w:space="0" w:color="auto"/>
        <w:left w:val="none" w:sz="0" w:space="0" w:color="auto"/>
        <w:bottom w:val="none" w:sz="0" w:space="0" w:color="auto"/>
        <w:right w:val="none" w:sz="0" w:space="0" w:color="auto"/>
      </w:divBdr>
      <w:divsChild>
        <w:div w:id="546113885">
          <w:marLeft w:val="0"/>
          <w:marRight w:val="0"/>
          <w:marTop w:val="0"/>
          <w:marBottom w:val="0"/>
          <w:divBdr>
            <w:top w:val="none" w:sz="0" w:space="0" w:color="auto"/>
            <w:left w:val="none" w:sz="0" w:space="0" w:color="auto"/>
            <w:bottom w:val="none" w:sz="0" w:space="0" w:color="auto"/>
            <w:right w:val="none" w:sz="0" w:space="0" w:color="auto"/>
          </w:divBdr>
        </w:div>
        <w:div w:id="5919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олис2</dc:creator>
  <cp:lastModifiedBy>User</cp:lastModifiedBy>
  <cp:revision>2</cp:revision>
  <cp:lastPrinted>2015-12-10T09:17:00Z</cp:lastPrinted>
  <dcterms:created xsi:type="dcterms:W3CDTF">2018-12-20T15:16:00Z</dcterms:created>
  <dcterms:modified xsi:type="dcterms:W3CDTF">2018-12-20T15:16:00Z</dcterms:modified>
</cp:coreProperties>
</file>